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Regulation 102-R(1): Equal Educational Opportunity - Grievance Procedure</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It is the policy of the Tri-County Community School District not to discriminate on the basis of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have questions or a grievance related to this policy please contact</w:t>
      </w:r>
      <w:r w:rsidDel="00000000" w:rsidR="00000000" w:rsidRPr="00000000">
        <w:rPr>
          <w:rFonts w:ascii="Lato" w:cs="Lato" w:eastAsia="Lato" w:hAnsi="Lato"/>
          <w:rtl w:val="0"/>
        </w:rPr>
        <w:t xml:space="preserve"> Jennifer Berg</w:t>
      </w:r>
      <w:r w:rsidDel="00000000" w:rsidR="00000000" w:rsidRPr="00000000">
        <w:rPr>
          <w:rFonts w:ascii="Lato" w:cs="Lato" w:eastAsia="Lato" w:hAnsi="Lato"/>
          <w:i w:val="1"/>
          <w:rtl w:val="0"/>
        </w:rPr>
        <w:t xml:space="preserve">, </w:t>
      </w:r>
      <w:r w:rsidDel="00000000" w:rsidR="00000000" w:rsidRPr="00000000">
        <w:rPr>
          <w:rFonts w:ascii="Roboto" w:cs="Roboto" w:eastAsia="Roboto" w:hAnsi="Roboto"/>
          <w:i w:val="1"/>
          <w:color w:val="202124"/>
          <w:sz w:val="21"/>
          <w:szCs w:val="21"/>
          <w:rtl w:val="0"/>
        </w:rPr>
        <w:t xml:space="preserve"> </w:t>
      </w:r>
      <w:r w:rsidDel="00000000" w:rsidR="00000000" w:rsidRPr="00000000">
        <w:rPr>
          <w:rFonts w:ascii="Times New Roman" w:cs="Times New Roman" w:eastAsia="Times New Roman" w:hAnsi="Times New Roman"/>
          <w:color w:val="202124"/>
          <w:sz w:val="21"/>
          <w:szCs w:val="21"/>
          <w:rtl w:val="0"/>
        </w:rPr>
        <w:t xml:space="preserve">Po Box 17 Thornburg, IA 50255</w:t>
      </w:r>
      <w:r w:rsidDel="00000000" w:rsidR="00000000" w:rsidRPr="00000000">
        <w:rPr>
          <w:rFonts w:ascii="Lato" w:cs="Lato" w:eastAsia="Lato" w:hAnsi="Lato"/>
          <w:i w:val="1"/>
          <w:rtl w:val="0"/>
        </w:rPr>
        <w:t xml:space="preserve">, </w:t>
      </w:r>
      <w:r w:rsidDel="00000000" w:rsidR="00000000" w:rsidRPr="00000000">
        <w:rPr>
          <w:rFonts w:ascii="Times New Roman" w:cs="Times New Roman" w:eastAsia="Times New Roman" w:hAnsi="Times New Roman"/>
          <w:i w:val="1"/>
          <w:rtl w:val="0"/>
        </w:rPr>
        <w:t xml:space="preserve">641-634-2636. jennifer.berg@tri-countyschools.com.</w:t>
      </w:r>
      <w:r w:rsidDel="00000000" w:rsidR="00000000" w:rsidRPr="00000000">
        <w:rPr>
          <w:rFonts w:ascii="Lato" w:cs="Lato" w:eastAsia="Lato" w:hAnsi="Lato"/>
          <w:rtl w:val="0"/>
        </w:rPr>
        <w:br w:type="textWrapping"/>
        <w:br w:type="textWrapping"/>
        <w:t xml:space="preserve">Students, parents of students, employees, and applicants for employment in the school district have the right to file a formal complaint alleging discrimination. The district has policies and procedures in place to identify and investigate complaints alleging discrimination. If appropriate, the district will take steps to prevent the recurrence of discrimination and to correct its discriminatory effects on the Complainant and others.</w:t>
        <w:br w:type="textWrapping"/>
        <w:br w:type="textWrapping"/>
        <w:t xml:space="preserve">A Complainant may attempt to resolve the problem informally by discussing the matter with a building principal or a direct supervisor. However, the Complainant has the right to end the informal process at any time and pursue the formal grievance procedures outlined below. Use of the informal or formal grievance procedure is not a prerequisite to the pursuit of other remedies. Please note that informal processes and procedures are not to be used in certain circumstances (e.g., sexual harassment and sexual assault). </w:t>
        <w:br w:type="textWrapping"/>
        <w:br w:type="textWrapping"/>
      </w:r>
      <w:r w:rsidDel="00000000" w:rsidR="00000000" w:rsidRPr="00000000">
        <w:rPr>
          <w:rFonts w:ascii="Lato" w:cs="Lato" w:eastAsia="Lato" w:hAnsi="Lato"/>
          <w:b w:val="1"/>
          <w:rtl w:val="0"/>
        </w:rPr>
        <w:t xml:space="preserve">Filing a Complaint</w:t>
      </w:r>
      <w:r w:rsidDel="00000000" w:rsidR="00000000" w:rsidRPr="00000000">
        <w:rPr>
          <w:rFonts w:ascii="Lato" w:cs="Lato" w:eastAsia="Lato" w:hAnsi="Lato"/>
          <w:rtl w:val="0"/>
        </w:rPr>
        <w:br w:type="textWrapping"/>
        <w:t xml:space="preserve">A Complainant who wishes to avail himself/herself of this grievance procedure may do so by filing a complaint with the equity coordinator(s). An alternate will be designated in the event it is claimed that the equity coordinator or superintendent committed the alleged discrimination or some other conflict of interest exists. Complaints shall be filed within</w:t>
      </w:r>
      <w:r w:rsidDel="00000000" w:rsidR="00000000" w:rsidRPr="00000000">
        <w:rPr>
          <w:rFonts w:ascii="Lato" w:cs="Lato" w:eastAsia="Lato" w:hAnsi="Lato"/>
          <w:i w:val="1"/>
          <w:rtl w:val="0"/>
        </w:rPr>
        <w:t xml:space="preserve"> 15 days </w:t>
      </w:r>
      <w:r w:rsidDel="00000000" w:rsidR="00000000" w:rsidRPr="00000000">
        <w:rPr>
          <w:rFonts w:ascii="Lato" w:cs="Lato" w:eastAsia="Lato" w:hAnsi="Lato"/>
          <w:rtl w:val="0"/>
        </w:rPr>
        <w:t xml:space="preserve">of the event giving rise to the complaint or from the date the Complainant could reasonably become aware of such occurrence. The Complainant will state the nature of the complaint and the remedy requested. The equity coordinator(s) shall assist the Complainant as needed. </w:t>
        <w:br w:type="textWrapping"/>
        <w:br w:type="textWrapping"/>
      </w:r>
      <w:r w:rsidDel="00000000" w:rsidR="00000000" w:rsidRPr="00000000">
        <w:rPr>
          <w:rFonts w:ascii="Lato" w:cs="Lato" w:eastAsia="Lato" w:hAnsi="Lato"/>
          <w:b w:val="1"/>
          <w:rtl w:val="0"/>
        </w:rPr>
        <w:t xml:space="preserve">Investigation </w:t>
      </w:r>
      <w:r w:rsidDel="00000000" w:rsidR="00000000" w:rsidRPr="00000000">
        <w:rPr>
          <w:rFonts w:ascii="Lato" w:cs="Lato" w:eastAsia="Lato" w:hAnsi="Lato"/>
          <w:rtl w:val="0"/>
        </w:rPr>
        <w:br w:type="textWrapping"/>
        <w:t xml:space="preserve">Within</w:t>
      </w:r>
      <w:r w:rsidDel="00000000" w:rsidR="00000000" w:rsidRPr="00000000">
        <w:rPr>
          <w:rFonts w:ascii="Lato" w:cs="Lato" w:eastAsia="Lato" w:hAnsi="Lato"/>
          <w:i w:val="1"/>
          <w:rtl w:val="0"/>
        </w:rPr>
        <w:t xml:space="preserve"> 15 </w:t>
      </w:r>
      <w:r w:rsidDel="00000000" w:rsidR="00000000" w:rsidRPr="00000000">
        <w:rPr>
          <w:rFonts w:ascii="Lato" w:cs="Lato" w:eastAsia="Lato" w:hAnsi="Lato"/>
          <w:rtl w:val="0"/>
        </w:rPr>
        <w:t xml:space="preserve">working days, the equity coordinator will begin the investigation of the complaint or appoint a qualified person to undertake the investigation (hereinafter “equity coordinator”).  If the Complainant is under 18 years of age, the equity coordinator shall notify his or her parent(s)/guardian(s) that they may attend investigatory meetings in which the Complainant is involved. The complaint and identity of the Complainant, Respondent, or witnesses will only be disclosed as reasonably necessary in connection with the investigation or as required by law or policy. The investigation may include, but is not limited to the following: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A request for the Complainant to provide a written statement regarding the nature of the complaint; </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 request for the individual named in the complaint to provide a written statement; </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 request for witnesses identified during the course of the investigation to provide a written statement; </w:t>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Interviews of the Complainant, Respondent, or witnesses; </w:t>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An opportunity to present witnesses or other relevant information; and </w:t>
      </w:r>
    </w:p>
    <w:p w:rsidR="00000000" w:rsidDel="00000000" w:rsidP="00000000" w:rsidRDefault="00000000" w:rsidRPr="00000000" w14:paraId="0000000D">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Review and collection of documentation or information deemed relevant to the investigation. </w:t>
      </w:r>
    </w:p>
    <w:p w:rsidR="00000000" w:rsidDel="00000000" w:rsidP="00000000" w:rsidRDefault="00000000" w:rsidRPr="00000000" w14:paraId="0000000E">
      <w:pPr>
        <w:spacing w:after="0" w:lineRule="auto"/>
        <w:rPr>
          <w:rFonts w:ascii="Lato" w:cs="Lato" w:eastAsia="Lato" w:hAnsi="Lato"/>
        </w:rPr>
      </w:pPr>
      <w:r w:rsidDel="00000000" w:rsidR="00000000" w:rsidRPr="00000000">
        <w:rPr>
          <w:rFonts w:ascii="Lato" w:cs="Lato" w:eastAsia="Lato" w:hAnsi="Lato"/>
          <w:rtl w:val="0"/>
        </w:rPr>
        <w:t xml:space="preserve">Within 60 working days, the equity coordinator shall complete the investigation and issue a report with respect to the findings. </w:t>
        <w:br w:type="textWrapping"/>
        <w:br w:type="textWrapping"/>
        <w:t xml:space="preserve">The equity coordinator shall notify the Complainant and Respondent of the decision within </w:t>
      </w:r>
      <w:r w:rsidDel="00000000" w:rsidR="00000000" w:rsidRPr="00000000">
        <w:rPr>
          <w:rFonts w:ascii="Lato" w:cs="Lato" w:eastAsia="Lato" w:hAnsi="Lato"/>
          <w:i w:val="1"/>
          <w:rtl w:val="0"/>
        </w:rPr>
        <w:t xml:space="preserve">10 </w:t>
      </w:r>
      <w:r w:rsidDel="00000000" w:rsidR="00000000" w:rsidRPr="00000000">
        <w:rPr>
          <w:rFonts w:ascii="Lato" w:cs="Lato" w:eastAsia="Lato" w:hAnsi="Lato"/>
          <w:rtl w:val="0"/>
        </w:rPr>
        <w:t xml:space="preserve">working days of completing the written report. Notification shall be by U.S. mail, first class. </w:t>
        <w:br w:type="textWrapping"/>
        <w:br w:type="textWrapping"/>
      </w:r>
      <w:r w:rsidDel="00000000" w:rsidR="00000000" w:rsidRPr="00000000">
        <w:rPr>
          <w:rFonts w:ascii="Lato" w:cs="Lato" w:eastAsia="Lato" w:hAnsi="Lato"/>
          <w:b w:val="1"/>
          <w:rtl w:val="0"/>
        </w:rPr>
        <w:t xml:space="preserve">Decision and Appeal</w:t>
      </w:r>
      <w:r w:rsidDel="00000000" w:rsidR="00000000" w:rsidRPr="00000000">
        <w:rPr>
          <w:rFonts w:ascii="Lato" w:cs="Lato" w:eastAsia="Lato" w:hAnsi="Lato"/>
          <w:rtl w:val="0"/>
        </w:rPr>
        <w:br w:type="textWrapping"/>
        <w:t xml:space="preserve">The complaint is closed after the equity coordinator has issued the report, unless within</w:t>
      </w:r>
      <w:r w:rsidDel="00000000" w:rsidR="00000000" w:rsidRPr="00000000">
        <w:rPr>
          <w:rFonts w:ascii="Lato" w:cs="Lato" w:eastAsia="Lato" w:hAnsi="Lato"/>
          <w:i w:val="1"/>
          <w:rtl w:val="0"/>
        </w:rPr>
        <w:t xml:space="preserve"> 10 </w:t>
      </w:r>
      <w:r w:rsidDel="00000000" w:rsidR="00000000" w:rsidRPr="00000000">
        <w:rPr>
          <w:rFonts w:ascii="Lato" w:cs="Lato" w:eastAsia="Lato" w:hAnsi="Lato"/>
          <w:rtl w:val="0"/>
        </w:rPr>
        <w:t xml:space="preserve">working days after receiving the decision, either party appeals the decision to the superintendent by making a written request detailing why he/she believes the decision should be reconsidered. The equity coordinator shall promptly forward all materials relative to the complaint and appeal to the superintendent. Within </w:t>
      </w:r>
      <w:r w:rsidDel="00000000" w:rsidR="00000000" w:rsidRPr="00000000">
        <w:rPr>
          <w:rFonts w:ascii="Lato" w:cs="Lato" w:eastAsia="Lato" w:hAnsi="Lato"/>
          <w:i w:val="1"/>
          <w:rtl w:val="0"/>
        </w:rPr>
        <w:t xml:space="preserve">30 </w:t>
      </w:r>
      <w:r w:rsidDel="00000000" w:rsidR="00000000" w:rsidRPr="00000000">
        <w:rPr>
          <w:rFonts w:ascii="Lato" w:cs="Lato" w:eastAsia="Lato" w:hAnsi="Lato"/>
          <w:rtl w:val="0"/>
        </w:rPr>
        <w:t xml:space="preserve">working days, the superintendent shall affirm, reverse, amend the decision, or direct the equity coordinator to gather additional information. The superintendent shall notify the Complainant, Respondent, and the equity coordinator of the decision within</w:t>
      </w:r>
      <w:r w:rsidDel="00000000" w:rsidR="00000000" w:rsidRPr="00000000">
        <w:rPr>
          <w:rFonts w:ascii="Lato" w:cs="Lato" w:eastAsia="Lato" w:hAnsi="Lato"/>
          <w:i w:val="1"/>
          <w:rtl w:val="0"/>
        </w:rPr>
        <w:t xml:space="preserve">10 </w:t>
      </w:r>
      <w:r w:rsidDel="00000000" w:rsidR="00000000" w:rsidRPr="00000000">
        <w:rPr>
          <w:rFonts w:ascii="Lato" w:cs="Lato" w:eastAsia="Lato" w:hAnsi="Lato"/>
          <w:rtl w:val="0"/>
        </w:rPr>
        <w:t xml:space="preserve">working days of the decision. Notification shall be by U.S. mail, first class. </w:t>
        <w:br w:type="textWrapping"/>
        <w:br w:type="textWrapping"/>
        <w:t xml:space="preserve">The decision of the superintendent shall be final. </w:t>
        <w:br w:type="textWrapping"/>
        <w:br w:type="textWrapping"/>
        <w:t xml:space="preserve">The decision of the superintendent in no way prejudices a party from seeking redress through state or federal agencies as provided by in law. </w:t>
        <w:br w:type="textWrapping"/>
        <w:br w:type="textWrapping"/>
        <w:t xml:space="preserve">This policy and procedures are to be used for complaints of discrimination, in lieu of any other general complaint policies or procedures that may be available. </w:t>
        <w:br w:type="textWrapping"/>
        <w:br w:type="textWrapping"/>
        <w:t xml:space="preserve">If any of the stated timeframes cannot be met by the district, the district will notify the parties and pursue completion as promptly as possible. </w:t>
        <w:br w:type="textWrapping"/>
        <w:br w:type="textWrapping"/>
        <w:t xml:space="preserve">Retaliation against any person, because the person has filed a complaint or assisted or participated in an investigation, is prohibited. Persons found to have engaged in retaliation shall be subject to discipline by appropriate measures. </w:t>
        <w:br w:type="textWrapping"/>
        <w:t xml:space="preserve">  </w:t>
      </w:r>
    </w:p>
    <w:p w:rsidR="00000000" w:rsidDel="00000000" w:rsidP="00000000" w:rsidRDefault="00000000" w:rsidRPr="00000000" w14:paraId="0000000F">
      <w:pPr>
        <w:pBdr>
          <w:bottom w:color="000000" w:space="1" w:sz="5" w:val="single"/>
        </w:pBdr>
        <w:rPr/>
      </w:pPr>
      <w:r w:rsidDel="00000000" w:rsidR="00000000" w:rsidRPr="00000000">
        <w:rPr>
          <w:rtl w:val="0"/>
        </w:rPr>
      </w:r>
    </w:p>
    <w:tbl>
      <w:tblPr>
        <w:tblStyle w:val="Table2"/>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216.6</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7">
              <w:r w:rsidDel="00000000" w:rsidR="00000000" w:rsidRPr="00000000">
                <w:rPr>
                  <w:rFonts w:ascii="Lato" w:cs="Lato" w:eastAsia="Lato" w:hAnsi="Lato"/>
                  <w:color w:val="0563c1"/>
                  <w:u w:val="single"/>
                  <w:rtl w:val="0"/>
                </w:rPr>
                <w:t xml:space="preserve">Unfair Employment Practices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216.9</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8">
              <w:r w:rsidDel="00000000" w:rsidR="00000000" w:rsidRPr="00000000">
                <w:rPr>
                  <w:rFonts w:ascii="Lato" w:cs="Lato" w:eastAsia="Lato" w:hAnsi="Lato"/>
                  <w:color w:val="0563c1"/>
                  <w:u w:val="single"/>
                  <w:rtl w:val="0"/>
                </w:rPr>
                <w:t xml:space="preserve">Unfair/Discriminatory Practices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Iowa Code  § 256.11</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9">
              <w:r w:rsidDel="00000000" w:rsidR="00000000" w:rsidRPr="00000000">
                <w:rPr>
                  <w:rFonts w:ascii="Lato" w:cs="Lato" w:eastAsia="Lato" w:hAnsi="Lato"/>
                  <w:color w:val="0563c1"/>
                  <w:u w:val="single"/>
                  <w:rtl w:val="0"/>
                </w:rPr>
                <w:t xml:space="preserve">DE - Educational Standards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Iowa Code  § 280.3</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10">
              <w:r w:rsidDel="00000000" w:rsidR="00000000" w:rsidRPr="00000000">
                <w:rPr>
                  <w:rFonts w:ascii="Lato" w:cs="Lato" w:eastAsia="Lato" w:hAnsi="Lato"/>
                  <w:color w:val="0563c1"/>
                  <w:u w:val="single"/>
                  <w:rtl w:val="0"/>
                </w:rPr>
                <w:t xml:space="preserve">Education Program - Attendance Center Requirements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w:cs="Lato" w:eastAsia="Lato" w:hAnsi="Lato"/>
                <w:rtl w:val="0"/>
              </w:rPr>
              <w:t xml:space="preserve">281 I.A.C. 12</w:t>
            </w:r>
            <w:r w:rsidDel="00000000" w:rsidR="00000000" w:rsidRPr="00000000">
              <w:rPr>
                <w:rtl w:val="0"/>
              </w:rPr>
            </w:r>
          </w:p>
        </w:tc>
        <w:tc>
          <w:tcPr>
            <w:tcMar>
              <w:top w:w="0.0" w:type="dxa"/>
              <w:bottom w:w="0.0" w:type="dxa"/>
            </w:tcMar>
          </w:tcPr>
          <w:p w:rsidR="00000000" w:rsidDel="00000000" w:rsidP="00000000" w:rsidRDefault="00000000" w:rsidRPr="00000000" w14:paraId="0000001D">
            <w:pPr>
              <w:rPr/>
            </w:pPr>
            <w:hyperlink r:id="rId11">
              <w:r w:rsidDel="00000000" w:rsidR="00000000" w:rsidRPr="00000000">
                <w:rPr>
                  <w:rFonts w:ascii="Lato" w:cs="Lato" w:eastAsia="Lato" w:hAnsi="Lato"/>
                  <w:color w:val="0563c1"/>
                  <w:u w:val="single"/>
                  <w:rtl w:val="0"/>
                </w:rPr>
                <w:t xml:space="preserve">General Accreditation Standards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20 U.S.C. §§ 1221</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12">
              <w:r w:rsidDel="00000000" w:rsidR="00000000" w:rsidRPr="00000000">
                <w:rPr>
                  <w:rFonts w:ascii="Lato" w:cs="Lato" w:eastAsia="Lato" w:hAnsi="Lato"/>
                  <w:color w:val="0563c1"/>
                  <w:u w:val="single"/>
                  <w:rtl w:val="0"/>
                </w:rPr>
                <w:t xml:space="preserve">Education - FERPA - General Provisions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w:cs="Lato" w:eastAsia="Lato" w:hAnsi="Lato"/>
                <w:rtl w:val="0"/>
              </w:rPr>
              <w:t xml:space="preserve">20 U.S.C. §§ 1681</w:t>
            </w:r>
            <w:r w:rsidDel="00000000" w:rsidR="00000000" w:rsidRPr="00000000">
              <w:rPr>
                <w:rtl w:val="0"/>
              </w:rPr>
            </w:r>
          </w:p>
        </w:tc>
        <w:tc>
          <w:tcPr>
            <w:tcMar>
              <w:top w:w="0.0" w:type="dxa"/>
              <w:bottom w:w="0.0" w:type="dxa"/>
            </w:tcMar>
          </w:tcPr>
          <w:p w:rsidR="00000000" w:rsidDel="00000000" w:rsidP="00000000" w:rsidRDefault="00000000" w:rsidRPr="00000000" w14:paraId="00000023">
            <w:pPr>
              <w:rPr/>
            </w:pPr>
            <w:hyperlink r:id="rId13">
              <w:r w:rsidDel="00000000" w:rsidR="00000000" w:rsidRPr="00000000">
                <w:rPr>
                  <w:rFonts w:ascii="Lato" w:cs="Lato" w:eastAsia="Lato" w:hAnsi="Lato"/>
                  <w:color w:val="0563c1"/>
                  <w:u w:val="single"/>
                  <w:rtl w:val="0"/>
                </w:rPr>
                <w:t xml:space="preserve">Education - Sex</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20 U.S.C. §§ 1701</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14">
              <w:r w:rsidDel="00000000" w:rsidR="00000000" w:rsidRPr="00000000">
                <w:rPr>
                  <w:rFonts w:ascii="Lato" w:cs="Lato" w:eastAsia="Lato" w:hAnsi="Lato"/>
                  <w:color w:val="0563c1"/>
                  <w:u w:val="single"/>
                  <w:rtl w:val="0"/>
                </w:rPr>
                <w:t xml:space="preserve">Education - EEO</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29 U.S.C. § 206</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5">
              <w:r w:rsidDel="00000000" w:rsidR="00000000" w:rsidRPr="00000000">
                <w:rPr>
                  <w:rFonts w:ascii="Lato" w:cs="Lato" w:eastAsia="Lato" w:hAnsi="Lato"/>
                  <w:color w:val="0563c1"/>
                  <w:u w:val="single"/>
                  <w:rtl w:val="0"/>
                </w:rPr>
                <w:t xml:space="preserve">Labor - Minimum Wage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w:cs="Lato" w:eastAsia="Lato" w:hAnsi="Lato"/>
                <w:rtl w:val="0"/>
              </w:rPr>
              <w:t xml:space="preserve">29 U.S.C. §§ 794</w:t>
            </w:r>
            <w:r w:rsidDel="00000000" w:rsidR="00000000" w:rsidRPr="00000000">
              <w:rPr>
                <w:rtl w:val="0"/>
              </w:rPr>
            </w:r>
          </w:p>
        </w:tc>
        <w:tc>
          <w:tcPr>
            <w:tcMar>
              <w:top w:w="0.0" w:type="dxa"/>
              <w:bottom w:w="0.0" w:type="dxa"/>
            </w:tcMar>
          </w:tcPr>
          <w:p w:rsidR="00000000" w:rsidDel="00000000" w:rsidP="00000000" w:rsidRDefault="00000000" w:rsidRPr="00000000" w14:paraId="00000029">
            <w:pPr>
              <w:rPr/>
            </w:pPr>
            <w:hyperlink r:id="rId16">
              <w:r w:rsidDel="00000000" w:rsidR="00000000" w:rsidRPr="00000000">
                <w:rPr>
                  <w:rFonts w:ascii="Lato" w:cs="Lato" w:eastAsia="Lato" w:hAnsi="Lato"/>
                  <w:color w:val="0563c1"/>
                  <w:u w:val="single"/>
                  <w:rtl w:val="0"/>
                </w:rPr>
                <w:t xml:space="preserve">Labor - Vocation Rehab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w:cs="Lato" w:eastAsia="Lato" w:hAnsi="Lato"/>
                <w:rtl w:val="0"/>
              </w:rPr>
              <w:t xml:space="preserve">42 U.S.C. § 12101</w:t>
            </w:r>
            <w:r w:rsidDel="00000000" w:rsidR="00000000" w:rsidRPr="00000000">
              <w:rPr>
                <w:rtl w:val="0"/>
              </w:rPr>
            </w:r>
          </w:p>
        </w:tc>
        <w:tc>
          <w:tcPr>
            <w:tcMar>
              <w:top w:w="0.0" w:type="dxa"/>
              <w:bottom w:w="0.0" w:type="dxa"/>
            </w:tcMar>
          </w:tcPr>
          <w:p w:rsidR="00000000" w:rsidDel="00000000" w:rsidP="00000000" w:rsidRDefault="00000000" w:rsidRPr="00000000" w14:paraId="0000002B">
            <w:pPr>
              <w:rPr/>
            </w:pPr>
            <w:hyperlink r:id="rId17">
              <w:r w:rsidDel="00000000" w:rsidR="00000000" w:rsidRPr="00000000">
                <w:rPr>
                  <w:rFonts w:ascii="Lato" w:cs="Lato" w:eastAsia="Lato" w:hAnsi="Lato"/>
                  <w:color w:val="0563c1"/>
                  <w:u w:val="single"/>
                  <w:rtl w:val="0"/>
                </w:rPr>
                <w:t xml:space="preserve">Public Health - Equal Opportunity - Disabilities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w:cs="Lato" w:eastAsia="Lato" w:hAnsi="Lato"/>
                <w:rtl w:val="0"/>
              </w:rPr>
              <w:t xml:space="preserve">42 U.S.C. § 2000d</w:t>
            </w:r>
            <w:r w:rsidDel="00000000" w:rsidR="00000000" w:rsidRPr="00000000">
              <w:rPr>
                <w:rtl w:val="0"/>
              </w:rPr>
            </w:r>
          </w:p>
        </w:tc>
        <w:tc>
          <w:tcPr>
            <w:tcMar>
              <w:top w:w="0.0" w:type="dxa"/>
              <w:bottom w:w="0.0" w:type="dxa"/>
            </w:tcMar>
          </w:tcPr>
          <w:p w:rsidR="00000000" w:rsidDel="00000000" w:rsidP="00000000" w:rsidRDefault="00000000" w:rsidRPr="00000000" w14:paraId="0000002D">
            <w:pPr>
              <w:rPr/>
            </w:pPr>
            <w:hyperlink r:id="rId18">
              <w:r w:rsidDel="00000000" w:rsidR="00000000" w:rsidRPr="00000000">
                <w:rPr>
                  <w:rFonts w:ascii="Lato" w:cs="Lato" w:eastAsia="Lato" w:hAnsi="Lato"/>
                  <w:color w:val="0563c1"/>
                  <w:u w:val="single"/>
                  <w:rtl w:val="0"/>
                </w:rPr>
                <w:t xml:space="preserve">Public Health - Civil Rights - Federally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E">
            <w:pPr>
              <w:spacing w:after="0" w:lineRule="auto"/>
              <w:rPr/>
            </w:pPr>
            <w:r w:rsidDel="00000000" w:rsidR="00000000" w:rsidRPr="00000000">
              <w:rPr>
                <w:rFonts w:ascii="Lato" w:cs="Lato" w:eastAsia="Lato" w:hAnsi="Lato"/>
                <w:rtl w:val="0"/>
              </w:rPr>
              <w:t xml:space="preserve">42 U.S.C. § 2000e</w:t>
            </w:r>
            <w:r w:rsidDel="00000000" w:rsidR="00000000" w:rsidRPr="00000000">
              <w:rPr>
                <w:rtl w:val="0"/>
              </w:rPr>
            </w:r>
          </w:p>
        </w:tc>
        <w:tc>
          <w:tcPr>
            <w:tcMar>
              <w:top w:w="0.0" w:type="dxa"/>
              <w:bottom w:w="0.0" w:type="dxa"/>
            </w:tcMar>
          </w:tcPr>
          <w:p w:rsidR="00000000" w:rsidDel="00000000" w:rsidP="00000000" w:rsidRDefault="00000000" w:rsidRPr="00000000" w14:paraId="0000002F">
            <w:pPr>
              <w:rPr/>
            </w:pPr>
            <w:hyperlink r:id="rId19">
              <w:r w:rsidDel="00000000" w:rsidR="00000000" w:rsidRPr="00000000">
                <w:rPr>
                  <w:rFonts w:ascii="Lato" w:cs="Lato" w:eastAsia="Lato" w:hAnsi="Lato"/>
                  <w:color w:val="0563c1"/>
                  <w:u w:val="single"/>
                  <w:rtl w:val="0"/>
                </w:rPr>
                <w:t xml:space="preserve">Public Health - EEO Civil Rights - Definitions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0">
            <w:pPr>
              <w:spacing w:after="0" w:lineRule="auto"/>
              <w:rPr/>
            </w:pPr>
            <w:r w:rsidDel="00000000" w:rsidR="00000000" w:rsidRPr="00000000">
              <w:rPr>
                <w:rFonts w:ascii="Lato Black" w:cs="Lato Black" w:eastAsia="Lato Black" w:hAnsi="Lato Black"/>
                <w:b w:val="1"/>
                <w:rtl w:val="0"/>
              </w:rPr>
              <w:t xml:space="preserve">C.F.R. - Code of Federal Regulations</w:t>
            </w:r>
            <w:r w:rsidDel="00000000" w:rsidR="00000000" w:rsidRPr="00000000">
              <w:rPr>
                <w:rtl w:val="0"/>
              </w:rPr>
            </w:r>
          </w:p>
        </w:tc>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2">
            <w:pPr>
              <w:spacing w:after="0" w:lineRule="auto"/>
              <w:rPr/>
            </w:pPr>
            <w:r w:rsidDel="00000000" w:rsidR="00000000" w:rsidRPr="00000000">
              <w:rPr>
                <w:rFonts w:ascii="Lato" w:cs="Lato" w:eastAsia="Lato" w:hAnsi="Lato"/>
                <w:rtl w:val="0"/>
              </w:rPr>
              <w:t xml:space="preserve">34 C.F.R. Pt. 100</w:t>
            </w:r>
            <w:r w:rsidDel="00000000" w:rsidR="00000000" w:rsidRPr="00000000">
              <w:rPr>
                <w:rtl w:val="0"/>
              </w:rPr>
            </w:r>
          </w:p>
        </w:tc>
        <w:tc>
          <w:tcPr>
            <w:tcMar>
              <w:top w:w="0.0" w:type="dxa"/>
              <w:bottom w:w="0.0" w:type="dxa"/>
            </w:tcMar>
          </w:tcPr>
          <w:p w:rsidR="00000000" w:rsidDel="00000000" w:rsidP="00000000" w:rsidRDefault="00000000" w:rsidRPr="00000000" w14:paraId="00000033">
            <w:pPr>
              <w:rPr/>
            </w:pPr>
            <w:hyperlink r:id="rId20">
              <w:r w:rsidDel="00000000" w:rsidR="00000000" w:rsidRPr="00000000">
                <w:rPr>
                  <w:rFonts w:ascii="Lato" w:cs="Lato" w:eastAsia="Lato" w:hAnsi="Lato"/>
                  <w:color w:val="0563c1"/>
                  <w:u w:val="single"/>
                  <w:rtl w:val="0"/>
                </w:rPr>
                <w:t xml:space="preserve">Education - Nondiscrimination for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4">
            <w:pPr>
              <w:spacing w:after="0" w:lineRule="auto"/>
              <w:rPr/>
            </w:pPr>
            <w:r w:rsidDel="00000000" w:rsidR="00000000" w:rsidRPr="00000000">
              <w:rPr>
                <w:rFonts w:ascii="Lato" w:cs="Lato" w:eastAsia="Lato" w:hAnsi="Lato"/>
                <w:rtl w:val="0"/>
              </w:rPr>
              <w:t xml:space="preserve">34 C.F.R. Pt. 104</w:t>
            </w:r>
            <w:r w:rsidDel="00000000" w:rsidR="00000000" w:rsidRPr="00000000">
              <w:rPr>
                <w:rtl w:val="0"/>
              </w:rPr>
            </w:r>
          </w:p>
        </w:tc>
        <w:tc>
          <w:tcPr>
            <w:tcMar>
              <w:top w:w="0.0" w:type="dxa"/>
              <w:bottom w:w="0.0" w:type="dxa"/>
            </w:tcMar>
          </w:tcPr>
          <w:p w:rsidR="00000000" w:rsidDel="00000000" w:rsidP="00000000" w:rsidRDefault="00000000" w:rsidRPr="00000000" w14:paraId="00000035">
            <w:pPr>
              <w:rPr/>
            </w:pPr>
            <w:hyperlink r:id="rId21">
              <w:r w:rsidDel="00000000" w:rsidR="00000000" w:rsidRPr="00000000">
                <w:rPr>
                  <w:rFonts w:ascii="Lato" w:cs="Lato" w:eastAsia="Lato" w:hAnsi="Lato"/>
                  <w:color w:val="0563c1"/>
                  <w:u w:val="single"/>
                  <w:rtl w:val="0"/>
                </w:rPr>
                <w:t xml:space="preserve">Education - Nondiscrimination on Basis of Handicap</w:t>
              </w:r>
            </w:hyperlink>
            <w:r w:rsidDel="00000000" w:rsidR="00000000" w:rsidRPr="00000000">
              <w:rPr>
                <w:rtl w:val="0"/>
              </w:rPr>
            </w:r>
          </w:p>
        </w:tc>
      </w:tr>
    </w:tbl>
    <w:p w:rsidR="00000000" w:rsidDel="00000000" w:rsidP="00000000" w:rsidRDefault="00000000" w:rsidRPr="00000000" w14:paraId="00000036">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37">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3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9">
            <w:pPr>
              <w:spacing w:after="0" w:lineRule="auto"/>
              <w:rPr/>
            </w:pPr>
            <w:r w:rsidDel="00000000" w:rsidR="00000000" w:rsidRPr="00000000">
              <w:rPr>
                <w:rFonts w:ascii="Lato" w:cs="Lato" w:eastAsia="Lato" w:hAnsi="Lato"/>
                <w:rtl w:val="0"/>
              </w:rPr>
              <w:t xml:space="preserve">101</w:t>
            </w:r>
            <w:r w:rsidDel="00000000" w:rsidR="00000000" w:rsidRPr="00000000">
              <w:rPr>
                <w:rtl w:val="0"/>
              </w:rPr>
            </w:r>
          </w:p>
        </w:tc>
        <w:tc>
          <w:tcPr>
            <w:tcMar>
              <w:top w:w="0.0" w:type="dxa"/>
              <w:bottom w:w="0.0" w:type="dxa"/>
            </w:tcMar>
          </w:tcPr>
          <w:p w:rsidR="00000000" w:rsidDel="00000000" w:rsidP="00000000" w:rsidRDefault="00000000" w:rsidRPr="00000000" w14:paraId="0000003A">
            <w:pPr>
              <w:rPr/>
            </w:pPr>
            <w:hyperlink r:id="rId22">
              <w:r w:rsidDel="00000000" w:rsidR="00000000" w:rsidRPr="00000000">
                <w:rPr>
                  <w:rFonts w:ascii="Lato" w:cs="Lato" w:eastAsia="Lato" w:hAnsi="Lato"/>
                  <w:color w:val="0563c1"/>
                  <w:u w:val="single"/>
                  <w:rtl w:val="0"/>
                </w:rPr>
                <w:t xml:space="preserve">Educational Philosophy of the School District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B">
            <w:pPr>
              <w:spacing w:after="0" w:lineRule="auto"/>
              <w:rPr/>
            </w:pPr>
            <w:r w:rsidDel="00000000" w:rsidR="00000000" w:rsidRPr="00000000">
              <w:rPr>
                <w:rFonts w:ascii="Lato" w:cs="Lato" w:eastAsia="Lato" w:hAnsi="Lato"/>
                <w:rtl w:val="0"/>
              </w:rPr>
              <w:t xml:space="preserve">104</w:t>
            </w:r>
            <w:r w:rsidDel="00000000" w:rsidR="00000000" w:rsidRPr="00000000">
              <w:rPr>
                <w:rtl w:val="0"/>
              </w:rPr>
            </w:r>
          </w:p>
        </w:tc>
        <w:tc>
          <w:tcPr>
            <w:tcMar>
              <w:top w:w="0.0" w:type="dxa"/>
              <w:bottom w:w="0.0" w:type="dxa"/>
            </w:tcMar>
          </w:tcPr>
          <w:p w:rsidR="00000000" w:rsidDel="00000000" w:rsidP="00000000" w:rsidRDefault="00000000" w:rsidRPr="00000000" w14:paraId="0000003C">
            <w:pPr>
              <w:rPr/>
            </w:pPr>
            <w:hyperlink r:id="rId23">
              <w:r w:rsidDel="00000000" w:rsidR="00000000" w:rsidRPr="00000000">
                <w:rPr>
                  <w:rFonts w:ascii="Lato" w:cs="Lato" w:eastAsia="Lato" w:hAnsi="Lato"/>
                  <w:color w:val="0563c1"/>
                  <w:u w:val="single"/>
                  <w:rtl w:val="0"/>
                </w:rPr>
                <w:t xml:space="preserve">Anti-Bullying/Harassment Policy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D">
            <w:pPr>
              <w:spacing w:after="0" w:lineRule="auto"/>
              <w:rPr/>
            </w:pPr>
            <w:r w:rsidDel="00000000" w:rsidR="00000000" w:rsidRPr="00000000">
              <w:rPr>
                <w:rFonts w:ascii="Lato" w:cs="Lato" w:eastAsia="Lato" w:hAnsi="Lato"/>
                <w:rtl w:val="0"/>
              </w:rPr>
              <w:t xml:space="preserve">104-R(1)</w:t>
            </w:r>
            <w:r w:rsidDel="00000000" w:rsidR="00000000" w:rsidRPr="00000000">
              <w:rPr>
                <w:rtl w:val="0"/>
              </w:rPr>
            </w:r>
          </w:p>
        </w:tc>
        <w:tc>
          <w:tcPr>
            <w:tcMar>
              <w:top w:w="0.0" w:type="dxa"/>
              <w:bottom w:w="0.0" w:type="dxa"/>
            </w:tcMar>
          </w:tcPr>
          <w:p w:rsidR="00000000" w:rsidDel="00000000" w:rsidP="00000000" w:rsidRDefault="00000000" w:rsidRPr="00000000" w14:paraId="0000003E">
            <w:pPr>
              <w:rPr/>
            </w:pPr>
            <w:hyperlink r:id="rId24">
              <w:r w:rsidDel="00000000" w:rsidR="00000000" w:rsidRPr="00000000">
                <w:rPr>
                  <w:rFonts w:ascii="Lato" w:cs="Lato" w:eastAsia="Lato" w:hAnsi="Lato"/>
                  <w:color w:val="0563c1"/>
                  <w:u w:val="single"/>
                  <w:rtl w:val="0"/>
                </w:rPr>
                <w:t xml:space="preserve">Anti-Bullying/Harassment Policy - Investigation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F">
            <w:pPr>
              <w:spacing w:after="0" w:lineRule="auto"/>
              <w:rPr/>
            </w:pPr>
            <w:r w:rsidDel="00000000" w:rsidR="00000000" w:rsidRPr="00000000">
              <w:rPr>
                <w:rFonts w:ascii="Lato" w:cs="Lato" w:eastAsia="Lato" w:hAnsi="Lato"/>
                <w:rtl w:val="0"/>
              </w:rPr>
              <w:t xml:space="preserve">104-E(1)</w:t>
            </w:r>
            <w:r w:rsidDel="00000000" w:rsidR="00000000" w:rsidRPr="00000000">
              <w:rPr>
                <w:rtl w:val="0"/>
              </w:rPr>
            </w:r>
          </w:p>
        </w:tc>
        <w:tc>
          <w:tcPr>
            <w:tcMar>
              <w:top w:w="0.0" w:type="dxa"/>
              <w:bottom w:w="0.0" w:type="dxa"/>
            </w:tcMar>
          </w:tcPr>
          <w:p w:rsidR="00000000" w:rsidDel="00000000" w:rsidP="00000000" w:rsidRDefault="00000000" w:rsidRPr="00000000" w14:paraId="00000040">
            <w:pPr>
              <w:rPr/>
            </w:pPr>
            <w:hyperlink r:id="rId25">
              <w:r w:rsidDel="00000000" w:rsidR="00000000" w:rsidRPr="00000000">
                <w:rPr>
                  <w:rFonts w:ascii="Lato" w:cs="Lato" w:eastAsia="Lato" w:hAnsi="Lato"/>
                  <w:color w:val="0563c1"/>
                  <w:u w:val="single"/>
                  <w:rtl w:val="0"/>
                </w:rPr>
                <w:t xml:space="preserve">Anti-Bullying/Harassment Policy -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1">
            <w:pPr>
              <w:spacing w:after="0" w:lineRule="auto"/>
              <w:rPr/>
            </w:pPr>
            <w:r w:rsidDel="00000000" w:rsidR="00000000" w:rsidRPr="00000000">
              <w:rPr>
                <w:rFonts w:ascii="Lato" w:cs="Lato" w:eastAsia="Lato" w:hAnsi="Lato"/>
                <w:rtl w:val="0"/>
              </w:rPr>
              <w:t xml:space="preserve">104-E(2)</w:t>
            </w:r>
            <w:r w:rsidDel="00000000" w:rsidR="00000000" w:rsidRPr="00000000">
              <w:rPr>
                <w:rtl w:val="0"/>
              </w:rPr>
            </w:r>
          </w:p>
        </w:tc>
        <w:tc>
          <w:tcPr>
            <w:tcMar>
              <w:top w:w="0.0" w:type="dxa"/>
              <w:bottom w:w="0.0" w:type="dxa"/>
            </w:tcMar>
          </w:tcPr>
          <w:p w:rsidR="00000000" w:rsidDel="00000000" w:rsidP="00000000" w:rsidRDefault="00000000" w:rsidRPr="00000000" w14:paraId="00000042">
            <w:pPr>
              <w:rPr/>
            </w:pPr>
            <w:hyperlink r:id="rId26">
              <w:r w:rsidDel="00000000" w:rsidR="00000000" w:rsidRPr="00000000">
                <w:rPr>
                  <w:rFonts w:ascii="Lato" w:cs="Lato" w:eastAsia="Lato" w:hAnsi="Lato"/>
                  <w:color w:val="0563c1"/>
                  <w:u w:val="single"/>
                  <w:rtl w:val="0"/>
                </w:rPr>
                <w:t xml:space="preserve">Anti-Bullying/Harassment Policy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3">
            <w:pPr>
              <w:spacing w:after="0" w:lineRule="auto"/>
              <w:rPr/>
            </w:pPr>
            <w:r w:rsidDel="00000000" w:rsidR="00000000" w:rsidRPr="00000000">
              <w:rPr>
                <w:rFonts w:ascii="Lato" w:cs="Lato" w:eastAsia="Lato" w:hAnsi="Lato"/>
                <w:rtl w:val="0"/>
              </w:rPr>
              <w:t xml:space="preserve">104-E(3)</w:t>
            </w:r>
            <w:r w:rsidDel="00000000" w:rsidR="00000000" w:rsidRPr="00000000">
              <w:rPr>
                <w:rtl w:val="0"/>
              </w:rPr>
            </w:r>
          </w:p>
        </w:tc>
        <w:tc>
          <w:tcPr>
            <w:tcMar>
              <w:top w:w="0.0" w:type="dxa"/>
              <w:bottom w:w="0.0" w:type="dxa"/>
            </w:tcMar>
          </w:tcPr>
          <w:p w:rsidR="00000000" w:rsidDel="00000000" w:rsidP="00000000" w:rsidRDefault="00000000" w:rsidRPr="00000000" w14:paraId="00000044">
            <w:pPr>
              <w:rPr/>
            </w:pPr>
            <w:hyperlink r:id="rId27">
              <w:r w:rsidDel="00000000" w:rsidR="00000000" w:rsidRPr="00000000">
                <w:rPr>
                  <w:rFonts w:ascii="Lato" w:cs="Lato" w:eastAsia="Lato" w:hAnsi="Lato"/>
                  <w:color w:val="0563c1"/>
                  <w:u w:val="single"/>
                  <w:rtl w:val="0"/>
                </w:rPr>
                <w:t xml:space="preserve">Anti-Bullying/Harassment Policy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5">
            <w:pPr>
              <w:spacing w:after="0" w:lineRule="auto"/>
              <w:rPr/>
            </w:pPr>
            <w:r w:rsidDel="00000000" w:rsidR="00000000" w:rsidRPr="00000000">
              <w:rPr>
                <w:rFonts w:ascii="Lato" w:cs="Lato" w:eastAsia="Lato" w:hAnsi="Lato"/>
                <w:rtl w:val="0"/>
              </w:rPr>
              <w:t xml:space="preserve">401.01</w:t>
            </w:r>
            <w:r w:rsidDel="00000000" w:rsidR="00000000" w:rsidRPr="00000000">
              <w:rPr>
                <w:rtl w:val="0"/>
              </w:rPr>
            </w:r>
          </w:p>
        </w:tc>
        <w:tc>
          <w:tcPr>
            <w:tcMar>
              <w:top w:w="0.0" w:type="dxa"/>
              <w:bottom w:w="0.0" w:type="dxa"/>
            </w:tcMar>
          </w:tcPr>
          <w:p w:rsidR="00000000" w:rsidDel="00000000" w:rsidP="00000000" w:rsidRDefault="00000000" w:rsidRPr="00000000" w14:paraId="00000046">
            <w:pPr>
              <w:rPr/>
            </w:pPr>
            <w:hyperlink r:id="rId28">
              <w:r w:rsidDel="00000000" w:rsidR="00000000" w:rsidRPr="00000000">
                <w:rPr>
                  <w:rFonts w:ascii="Lato" w:cs="Lato" w:eastAsia="Lato" w:hAnsi="Lato"/>
                  <w:color w:val="0563c1"/>
                  <w:u w:val="single"/>
                  <w:rtl w:val="0"/>
                </w:rPr>
                <w:t xml:space="preserve">Equal Employment Opportunity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7">
            <w:pPr>
              <w:spacing w:after="0" w:lineRule="auto"/>
              <w:rPr/>
            </w:pPr>
            <w:r w:rsidDel="00000000" w:rsidR="00000000" w:rsidRPr="00000000">
              <w:rPr>
                <w:rFonts w:ascii="Lato" w:cs="Lato" w:eastAsia="Lato" w:hAnsi="Lato"/>
                <w:rtl w:val="0"/>
              </w:rPr>
              <w:t xml:space="preserve">502.03</w:t>
            </w:r>
            <w:r w:rsidDel="00000000" w:rsidR="00000000" w:rsidRPr="00000000">
              <w:rPr>
                <w:rtl w:val="0"/>
              </w:rPr>
            </w:r>
          </w:p>
        </w:tc>
        <w:tc>
          <w:tcPr>
            <w:tcMar>
              <w:top w:w="0.0" w:type="dxa"/>
              <w:bottom w:w="0.0" w:type="dxa"/>
            </w:tcMar>
          </w:tcPr>
          <w:p w:rsidR="00000000" w:rsidDel="00000000" w:rsidP="00000000" w:rsidRDefault="00000000" w:rsidRPr="00000000" w14:paraId="00000048">
            <w:pPr>
              <w:rPr/>
            </w:pPr>
            <w:hyperlink r:id="rId29">
              <w:r w:rsidDel="00000000" w:rsidR="00000000" w:rsidRPr="00000000">
                <w:rPr>
                  <w:rFonts w:ascii="Lato" w:cs="Lato" w:eastAsia="Lato" w:hAnsi="Lato"/>
                  <w:color w:val="0563c1"/>
                  <w:u w:val="single"/>
                  <w:rtl w:val="0"/>
                </w:rPr>
                <w:t xml:space="preserve">Student Expression and Student Publications Code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9">
            <w:pPr>
              <w:spacing w:after="0" w:lineRule="auto"/>
              <w:rPr/>
            </w:pPr>
            <w:r w:rsidDel="00000000" w:rsidR="00000000" w:rsidRPr="00000000">
              <w:rPr>
                <w:rFonts w:ascii="Lato" w:cs="Lato" w:eastAsia="Lato" w:hAnsi="Lato"/>
                <w:rtl w:val="0"/>
              </w:rPr>
              <w:t xml:space="preserve">502.03-R(1)</w:t>
            </w:r>
            <w:r w:rsidDel="00000000" w:rsidR="00000000" w:rsidRPr="00000000">
              <w:rPr>
                <w:rtl w:val="0"/>
              </w:rPr>
            </w:r>
          </w:p>
        </w:tc>
        <w:tc>
          <w:tcPr>
            <w:tcMar>
              <w:top w:w="0.0" w:type="dxa"/>
              <w:bottom w:w="0.0" w:type="dxa"/>
            </w:tcMar>
          </w:tcPr>
          <w:p w:rsidR="00000000" w:rsidDel="00000000" w:rsidP="00000000" w:rsidRDefault="00000000" w:rsidRPr="00000000" w14:paraId="0000004A">
            <w:pPr>
              <w:rPr/>
            </w:pPr>
            <w:hyperlink r:id="rId30">
              <w:r w:rsidDel="00000000" w:rsidR="00000000" w:rsidRPr="00000000">
                <w:rPr>
                  <w:rFonts w:ascii="Lato" w:cs="Lato" w:eastAsia="Lato" w:hAnsi="Lato"/>
                  <w:color w:val="0563c1"/>
                  <w:u w:val="single"/>
                  <w:rtl w:val="0"/>
                </w:rPr>
                <w:t xml:space="preserve">Student Expression and Student Publications Code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B">
            <w:pPr>
              <w:spacing w:after="0" w:lineRule="auto"/>
              <w:rPr/>
            </w:pPr>
            <w:r w:rsidDel="00000000" w:rsidR="00000000" w:rsidRPr="00000000">
              <w:rPr>
                <w:rFonts w:ascii="Lato" w:cs="Lato" w:eastAsia="Lato" w:hAnsi="Lato"/>
                <w:rtl w:val="0"/>
              </w:rPr>
              <w:t xml:space="preserve">506.01</w:t>
            </w:r>
            <w:r w:rsidDel="00000000" w:rsidR="00000000" w:rsidRPr="00000000">
              <w:rPr>
                <w:rtl w:val="0"/>
              </w:rPr>
            </w:r>
          </w:p>
        </w:tc>
        <w:tc>
          <w:tcPr>
            <w:tcMar>
              <w:top w:w="0.0" w:type="dxa"/>
              <w:bottom w:w="0.0" w:type="dxa"/>
            </w:tcMar>
          </w:tcPr>
          <w:p w:rsidR="00000000" w:rsidDel="00000000" w:rsidP="00000000" w:rsidRDefault="00000000" w:rsidRPr="00000000" w14:paraId="0000004C">
            <w:pPr>
              <w:rPr/>
            </w:pPr>
            <w:hyperlink r:id="rId31">
              <w:r w:rsidDel="00000000" w:rsidR="00000000" w:rsidRPr="00000000">
                <w:rPr>
                  <w:rFonts w:ascii="Lato" w:cs="Lato" w:eastAsia="Lato" w:hAnsi="Lato"/>
                  <w:color w:val="0563c1"/>
                  <w:u w:val="single"/>
                  <w:rtl w:val="0"/>
                </w:rPr>
                <w:t xml:space="preserve">Education Records Access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D">
            <w:pPr>
              <w:spacing w:after="0" w:lineRule="auto"/>
              <w:rPr/>
            </w:pPr>
            <w:r w:rsidDel="00000000" w:rsidR="00000000" w:rsidRPr="00000000">
              <w:rPr>
                <w:rFonts w:ascii="Lato" w:cs="Lato" w:eastAsia="Lato" w:hAnsi="Lato"/>
                <w:rtl w:val="0"/>
              </w:rPr>
              <w:t xml:space="preserve">506.01-R(1)</w:t>
            </w:r>
            <w:r w:rsidDel="00000000" w:rsidR="00000000" w:rsidRPr="00000000">
              <w:rPr>
                <w:rtl w:val="0"/>
              </w:rPr>
            </w:r>
          </w:p>
        </w:tc>
        <w:tc>
          <w:tcPr>
            <w:tcMar>
              <w:top w:w="0.0" w:type="dxa"/>
              <w:bottom w:w="0.0" w:type="dxa"/>
            </w:tcMar>
          </w:tcPr>
          <w:p w:rsidR="00000000" w:rsidDel="00000000" w:rsidP="00000000" w:rsidRDefault="00000000" w:rsidRPr="00000000" w14:paraId="0000004E">
            <w:pPr>
              <w:rPr/>
            </w:pPr>
            <w:hyperlink r:id="rId32">
              <w:r w:rsidDel="00000000" w:rsidR="00000000" w:rsidRPr="00000000">
                <w:rPr>
                  <w:rFonts w:ascii="Lato" w:cs="Lato" w:eastAsia="Lato" w:hAnsi="Lato"/>
                  <w:color w:val="0563c1"/>
                  <w:u w:val="single"/>
                  <w:rtl w:val="0"/>
                </w:rPr>
                <w:t xml:space="preserve">Education Records Access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F">
            <w:pPr>
              <w:spacing w:after="0" w:lineRule="auto"/>
              <w:rPr/>
            </w:pPr>
            <w:r w:rsidDel="00000000" w:rsidR="00000000" w:rsidRPr="00000000">
              <w:rPr>
                <w:rFonts w:ascii="Lato" w:cs="Lato" w:eastAsia="Lato" w:hAnsi="Lato"/>
                <w:rtl w:val="0"/>
              </w:rPr>
              <w:t xml:space="preserve">506.01-E(1)</w:t>
            </w:r>
            <w:r w:rsidDel="00000000" w:rsidR="00000000" w:rsidRPr="00000000">
              <w:rPr>
                <w:rtl w:val="0"/>
              </w:rPr>
            </w:r>
          </w:p>
        </w:tc>
        <w:tc>
          <w:tcPr>
            <w:tcMar>
              <w:top w:w="0.0" w:type="dxa"/>
              <w:bottom w:w="0.0" w:type="dxa"/>
            </w:tcMar>
          </w:tcPr>
          <w:p w:rsidR="00000000" w:rsidDel="00000000" w:rsidP="00000000" w:rsidRDefault="00000000" w:rsidRPr="00000000" w14:paraId="00000050">
            <w:pPr>
              <w:rPr/>
            </w:pPr>
            <w:hyperlink r:id="rId33">
              <w:r w:rsidDel="00000000" w:rsidR="00000000" w:rsidRPr="00000000">
                <w:rPr>
                  <w:rFonts w:ascii="Lato" w:cs="Lato" w:eastAsia="Lato" w:hAnsi="Lato"/>
                  <w:color w:val="0563c1"/>
                  <w:u w:val="single"/>
                  <w:rtl w:val="0"/>
                </w:rPr>
                <w:t xml:space="preserve">Education Records Access - Request of Nonparent for Examination or Copies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1">
            <w:pPr>
              <w:spacing w:after="0" w:lineRule="auto"/>
              <w:rPr/>
            </w:pPr>
            <w:r w:rsidDel="00000000" w:rsidR="00000000" w:rsidRPr="00000000">
              <w:rPr>
                <w:rFonts w:ascii="Lato" w:cs="Lato" w:eastAsia="Lato" w:hAnsi="Lato"/>
                <w:rtl w:val="0"/>
              </w:rPr>
              <w:t xml:space="preserve">506.01-E(2)</w:t>
            </w:r>
            <w:r w:rsidDel="00000000" w:rsidR="00000000" w:rsidRPr="00000000">
              <w:rPr>
                <w:rtl w:val="0"/>
              </w:rPr>
            </w:r>
          </w:p>
        </w:tc>
        <w:tc>
          <w:tcPr>
            <w:tcMar>
              <w:top w:w="0.0" w:type="dxa"/>
              <w:bottom w:w="0.0" w:type="dxa"/>
            </w:tcMar>
          </w:tcPr>
          <w:p w:rsidR="00000000" w:rsidDel="00000000" w:rsidP="00000000" w:rsidRDefault="00000000" w:rsidRPr="00000000" w14:paraId="00000052">
            <w:pPr>
              <w:rPr/>
            </w:pPr>
            <w:hyperlink r:id="rId34">
              <w:r w:rsidDel="00000000" w:rsidR="00000000" w:rsidRPr="00000000">
                <w:rPr>
                  <w:rFonts w:ascii="Lato" w:cs="Lato" w:eastAsia="Lato" w:hAnsi="Lato"/>
                  <w:color w:val="0563c1"/>
                  <w:u w:val="single"/>
                  <w:rtl w:val="0"/>
                </w:rPr>
                <w:t xml:space="preserve">Education Records Access - Authorization for Release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3">
            <w:pPr>
              <w:spacing w:after="0" w:lineRule="auto"/>
              <w:rPr/>
            </w:pPr>
            <w:r w:rsidDel="00000000" w:rsidR="00000000" w:rsidRPr="00000000">
              <w:rPr>
                <w:rFonts w:ascii="Lato" w:cs="Lato" w:eastAsia="Lato" w:hAnsi="Lato"/>
                <w:rtl w:val="0"/>
              </w:rPr>
              <w:t xml:space="preserve">506.01-E(3)</w:t>
            </w:r>
            <w:r w:rsidDel="00000000" w:rsidR="00000000" w:rsidRPr="00000000">
              <w:rPr>
                <w:rtl w:val="0"/>
              </w:rPr>
            </w:r>
          </w:p>
        </w:tc>
        <w:tc>
          <w:tcPr>
            <w:tcMar>
              <w:top w:w="0.0" w:type="dxa"/>
              <w:bottom w:w="0.0" w:type="dxa"/>
            </w:tcMar>
          </w:tcPr>
          <w:p w:rsidR="00000000" w:rsidDel="00000000" w:rsidP="00000000" w:rsidRDefault="00000000" w:rsidRPr="00000000" w14:paraId="00000054">
            <w:pPr>
              <w:rPr/>
            </w:pPr>
            <w:hyperlink r:id="rId35">
              <w:r w:rsidDel="00000000" w:rsidR="00000000" w:rsidRPr="00000000">
                <w:rPr>
                  <w:rFonts w:ascii="Lato" w:cs="Lato" w:eastAsia="Lato" w:hAnsi="Lato"/>
                  <w:color w:val="0563c1"/>
                  <w:u w:val="single"/>
                  <w:rtl w:val="0"/>
                </w:rPr>
                <w:t xml:space="preserve">Education Records Access - Request for Hearing on Correction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5">
            <w:pPr>
              <w:spacing w:after="0" w:lineRule="auto"/>
              <w:rPr/>
            </w:pPr>
            <w:r w:rsidDel="00000000" w:rsidR="00000000" w:rsidRPr="00000000">
              <w:rPr>
                <w:rFonts w:ascii="Lato" w:cs="Lato" w:eastAsia="Lato" w:hAnsi="Lato"/>
                <w:rtl w:val="0"/>
              </w:rPr>
              <w:t xml:space="preserve">506.01-E(4)</w:t>
            </w:r>
            <w:r w:rsidDel="00000000" w:rsidR="00000000" w:rsidRPr="00000000">
              <w:rPr>
                <w:rtl w:val="0"/>
              </w:rPr>
            </w:r>
          </w:p>
        </w:tc>
        <w:tc>
          <w:tcPr>
            <w:tcMar>
              <w:top w:w="0.0" w:type="dxa"/>
              <w:bottom w:w="0.0" w:type="dxa"/>
            </w:tcMar>
          </w:tcPr>
          <w:p w:rsidR="00000000" w:rsidDel="00000000" w:rsidP="00000000" w:rsidRDefault="00000000" w:rsidRPr="00000000" w14:paraId="00000056">
            <w:pPr>
              <w:rPr/>
            </w:pPr>
            <w:hyperlink r:id="rId36">
              <w:r w:rsidDel="00000000" w:rsidR="00000000" w:rsidRPr="00000000">
                <w:rPr>
                  <w:rFonts w:ascii="Lato" w:cs="Lato" w:eastAsia="Lato" w:hAnsi="Lato"/>
                  <w:color w:val="0563c1"/>
                  <w:u w:val="single"/>
                  <w:rtl w:val="0"/>
                </w:rPr>
                <w:t xml:space="preserve">Education Records Access - Request for Examination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7">
            <w:pPr>
              <w:spacing w:after="0" w:lineRule="auto"/>
              <w:rPr/>
            </w:pPr>
            <w:r w:rsidDel="00000000" w:rsidR="00000000" w:rsidRPr="00000000">
              <w:rPr>
                <w:rFonts w:ascii="Lato" w:cs="Lato" w:eastAsia="Lato" w:hAnsi="Lato"/>
                <w:rtl w:val="0"/>
              </w:rPr>
              <w:t xml:space="preserve">506.01-E(5)</w:t>
            </w:r>
            <w:r w:rsidDel="00000000" w:rsidR="00000000" w:rsidRPr="00000000">
              <w:rPr>
                <w:rtl w:val="0"/>
              </w:rPr>
            </w:r>
          </w:p>
        </w:tc>
        <w:tc>
          <w:tcPr>
            <w:tcMar>
              <w:top w:w="0.0" w:type="dxa"/>
              <w:bottom w:w="0.0" w:type="dxa"/>
            </w:tcMar>
          </w:tcPr>
          <w:p w:rsidR="00000000" w:rsidDel="00000000" w:rsidP="00000000" w:rsidRDefault="00000000" w:rsidRPr="00000000" w14:paraId="00000058">
            <w:pPr>
              <w:rPr/>
            </w:pPr>
            <w:hyperlink r:id="rId37">
              <w:r w:rsidDel="00000000" w:rsidR="00000000" w:rsidRPr="00000000">
                <w:rPr>
                  <w:rFonts w:ascii="Lato" w:cs="Lato" w:eastAsia="Lato" w:hAnsi="Lato"/>
                  <w:color w:val="0563c1"/>
                  <w:u w:val="single"/>
                  <w:rtl w:val="0"/>
                </w:rPr>
                <w:t xml:space="preserve">Education Records Access - Notification of Transfer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9">
            <w:pPr>
              <w:spacing w:after="0" w:lineRule="auto"/>
              <w:rPr/>
            </w:pPr>
            <w:r w:rsidDel="00000000" w:rsidR="00000000" w:rsidRPr="00000000">
              <w:rPr>
                <w:rFonts w:ascii="Lato" w:cs="Lato" w:eastAsia="Lato" w:hAnsi="Lato"/>
                <w:rtl w:val="0"/>
              </w:rPr>
              <w:t xml:space="preserve">506.01-E(6)</w:t>
            </w:r>
            <w:r w:rsidDel="00000000" w:rsidR="00000000" w:rsidRPr="00000000">
              <w:rPr>
                <w:rtl w:val="0"/>
              </w:rPr>
            </w:r>
          </w:p>
        </w:tc>
        <w:tc>
          <w:tcPr>
            <w:tcMar>
              <w:top w:w="0.0" w:type="dxa"/>
              <w:bottom w:w="0.0" w:type="dxa"/>
            </w:tcMar>
          </w:tcPr>
          <w:p w:rsidR="00000000" w:rsidDel="00000000" w:rsidP="00000000" w:rsidRDefault="00000000" w:rsidRPr="00000000" w14:paraId="0000005A">
            <w:pPr>
              <w:rPr/>
            </w:pPr>
            <w:hyperlink r:id="rId38">
              <w:r w:rsidDel="00000000" w:rsidR="00000000" w:rsidRPr="00000000">
                <w:rPr>
                  <w:rFonts w:ascii="Lato" w:cs="Lato" w:eastAsia="Lato" w:hAnsi="Lato"/>
                  <w:color w:val="0563c1"/>
                  <w:u w:val="single"/>
                  <w:rtl w:val="0"/>
                </w:rPr>
                <w:t xml:space="preserve">Education Records Access - Letter to Parent Regarding Receipt of a Subpoena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B">
            <w:pPr>
              <w:spacing w:after="0" w:lineRule="auto"/>
              <w:rPr/>
            </w:pPr>
            <w:r w:rsidDel="00000000" w:rsidR="00000000" w:rsidRPr="00000000">
              <w:rPr>
                <w:rFonts w:ascii="Lato" w:cs="Lato" w:eastAsia="Lato" w:hAnsi="Lato"/>
                <w:rtl w:val="0"/>
              </w:rPr>
              <w:t xml:space="preserve">506.01-E(7)</w:t>
            </w:r>
            <w:r w:rsidDel="00000000" w:rsidR="00000000" w:rsidRPr="00000000">
              <w:rPr>
                <w:rtl w:val="0"/>
              </w:rPr>
            </w:r>
          </w:p>
        </w:tc>
        <w:tc>
          <w:tcPr>
            <w:tcMar>
              <w:top w:w="0.0" w:type="dxa"/>
              <w:bottom w:w="0.0" w:type="dxa"/>
            </w:tcMar>
          </w:tcPr>
          <w:p w:rsidR="00000000" w:rsidDel="00000000" w:rsidP="00000000" w:rsidRDefault="00000000" w:rsidRPr="00000000" w14:paraId="0000005C">
            <w:pPr>
              <w:rPr/>
            </w:pPr>
            <w:hyperlink r:id="rId39">
              <w:r w:rsidDel="00000000" w:rsidR="00000000" w:rsidRPr="00000000">
                <w:rPr>
                  <w:rFonts w:ascii="Lato" w:cs="Lato" w:eastAsia="Lato" w:hAnsi="Lato"/>
                  <w:color w:val="0563c1"/>
                  <w:u w:val="single"/>
                  <w:rtl w:val="0"/>
                </w:rPr>
                <w:t xml:space="preserve">Education Records Access - Juvenile Justice Agency Information Sharing Agreement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D">
            <w:pPr>
              <w:spacing w:after="0" w:lineRule="auto"/>
              <w:rPr/>
            </w:pPr>
            <w:r w:rsidDel="00000000" w:rsidR="00000000" w:rsidRPr="00000000">
              <w:rPr>
                <w:rFonts w:ascii="Lato" w:cs="Lato" w:eastAsia="Lato" w:hAnsi="Lato"/>
                <w:rtl w:val="0"/>
              </w:rPr>
              <w:t xml:space="preserve">506.01-E(8)</w:t>
            </w:r>
            <w:r w:rsidDel="00000000" w:rsidR="00000000" w:rsidRPr="00000000">
              <w:rPr>
                <w:rtl w:val="0"/>
              </w:rPr>
            </w:r>
          </w:p>
        </w:tc>
        <w:tc>
          <w:tcPr>
            <w:tcMar>
              <w:top w:w="0.0" w:type="dxa"/>
              <w:bottom w:w="0.0" w:type="dxa"/>
            </w:tcMar>
          </w:tcPr>
          <w:p w:rsidR="00000000" w:rsidDel="00000000" w:rsidP="00000000" w:rsidRDefault="00000000" w:rsidRPr="00000000" w14:paraId="0000005E">
            <w:pPr>
              <w:rPr/>
            </w:pPr>
            <w:hyperlink r:id="rId40">
              <w:r w:rsidDel="00000000" w:rsidR="00000000" w:rsidRPr="00000000">
                <w:rPr>
                  <w:rFonts w:ascii="Lato" w:cs="Lato" w:eastAsia="Lato" w:hAnsi="Lato"/>
                  <w:color w:val="0563c1"/>
                  <w:u w:val="single"/>
                  <w:rtl w:val="0"/>
                </w:rPr>
                <w:t xml:space="preserve">Education Records Access - Annual Notice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F">
            <w:pPr>
              <w:spacing w:after="0" w:lineRule="auto"/>
              <w:rPr/>
            </w:pPr>
            <w:r w:rsidDel="00000000" w:rsidR="00000000" w:rsidRPr="00000000">
              <w:rPr>
                <w:rFonts w:ascii="Lato" w:cs="Lato" w:eastAsia="Lato" w:hAnsi="Lato"/>
                <w:rtl w:val="0"/>
              </w:rPr>
              <w:t xml:space="preserve">603.01</w:t>
            </w:r>
            <w:r w:rsidDel="00000000" w:rsidR="00000000" w:rsidRPr="00000000">
              <w:rPr>
                <w:rtl w:val="0"/>
              </w:rPr>
            </w:r>
          </w:p>
        </w:tc>
        <w:tc>
          <w:tcPr>
            <w:tcMar>
              <w:top w:w="0.0" w:type="dxa"/>
              <w:bottom w:w="0.0" w:type="dxa"/>
            </w:tcMar>
          </w:tcPr>
          <w:p w:rsidR="00000000" w:rsidDel="00000000" w:rsidP="00000000" w:rsidRDefault="00000000" w:rsidRPr="00000000" w14:paraId="00000060">
            <w:pPr>
              <w:rPr/>
            </w:pPr>
            <w:hyperlink r:id="rId41">
              <w:r w:rsidDel="00000000" w:rsidR="00000000" w:rsidRPr="00000000">
                <w:rPr>
                  <w:rFonts w:ascii="Lato" w:cs="Lato" w:eastAsia="Lato" w:hAnsi="Lato"/>
                  <w:color w:val="0563c1"/>
                  <w:u w:val="single"/>
                  <w:rtl w:val="0"/>
                </w:rPr>
                <w:t xml:space="preserve">Basic Instruction Program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61">
            <w:pPr>
              <w:spacing w:after="0" w:lineRule="auto"/>
              <w:rPr/>
            </w:pPr>
            <w:r w:rsidDel="00000000" w:rsidR="00000000" w:rsidRPr="00000000">
              <w:rPr>
                <w:rFonts w:ascii="Lato" w:cs="Lato" w:eastAsia="Lato" w:hAnsi="Lato"/>
                <w:rtl w:val="0"/>
              </w:rPr>
              <w:t xml:space="preserve">603.04</w:t>
            </w:r>
            <w:r w:rsidDel="00000000" w:rsidR="00000000" w:rsidRPr="00000000">
              <w:rPr>
                <w:rtl w:val="0"/>
              </w:rPr>
            </w:r>
          </w:p>
        </w:tc>
        <w:tc>
          <w:tcPr>
            <w:tcMar>
              <w:top w:w="0.0" w:type="dxa"/>
              <w:bottom w:w="0.0" w:type="dxa"/>
            </w:tcMar>
          </w:tcPr>
          <w:p w:rsidR="00000000" w:rsidDel="00000000" w:rsidP="00000000" w:rsidRDefault="00000000" w:rsidRPr="00000000" w14:paraId="00000062">
            <w:pPr>
              <w:rPr/>
            </w:pPr>
            <w:hyperlink r:id="rId42">
              <w:r w:rsidDel="00000000" w:rsidR="00000000" w:rsidRPr="00000000">
                <w:rPr>
                  <w:rFonts w:ascii="Lato" w:cs="Lato" w:eastAsia="Lato" w:hAnsi="Lato"/>
                  <w:color w:val="0563c1"/>
                  <w:u w:val="single"/>
                  <w:rtl w:val="0"/>
                </w:rPr>
                <w:t xml:space="preserve">Multicultural/Gender Fair Education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63">
            <w:pPr>
              <w:spacing w:after="0" w:lineRule="auto"/>
              <w:rPr/>
            </w:pPr>
            <w:r w:rsidDel="00000000" w:rsidR="00000000" w:rsidRPr="00000000">
              <w:rPr>
                <w:rFonts w:ascii="Lato" w:cs="Lato" w:eastAsia="Lato" w:hAnsi="Lato"/>
                <w:rtl w:val="0"/>
              </w:rPr>
              <w:t xml:space="preserve">802.05</w:t>
            </w:r>
            <w:r w:rsidDel="00000000" w:rsidR="00000000" w:rsidRPr="00000000">
              <w:rPr>
                <w:rtl w:val="0"/>
              </w:rPr>
            </w:r>
          </w:p>
        </w:tc>
        <w:tc>
          <w:tcPr>
            <w:tcMar>
              <w:top w:w="0.0" w:type="dxa"/>
              <w:bottom w:w="0.0" w:type="dxa"/>
            </w:tcMar>
          </w:tcPr>
          <w:p w:rsidR="00000000" w:rsidDel="00000000" w:rsidP="00000000" w:rsidRDefault="00000000" w:rsidRPr="00000000" w14:paraId="00000064">
            <w:pPr>
              <w:rPr/>
            </w:pPr>
            <w:hyperlink r:id="rId43">
              <w:r w:rsidDel="00000000" w:rsidR="00000000" w:rsidRPr="00000000">
                <w:rPr>
                  <w:rFonts w:ascii="Lato" w:cs="Lato" w:eastAsia="Lato" w:hAnsi="Lato"/>
                  <w:color w:val="0563c1"/>
                  <w:u w:val="single"/>
                  <w:rtl w:val="0"/>
                </w:rPr>
                <w:t xml:space="preserve">Buildings &amp; Sites Adaptation for Persons with Disabilities</w:t>
              </w:r>
            </w:hyperlink>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imbli.eboardsolutions.com/Policy/ViewPolicy.aspx?S=36031104&amp;revid=0QIpGYK2nFtIXYyDplwSJA==" TargetMode="External"/><Relationship Id="rId20" Type="http://schemas.openxmlformats.org/officeDocument/2006/relationships/hyperlink" Target="https://www.ecfr.gov/current/title-34/subtitle-B/chapter-I/part-100" TargetMode="External"/><Relationship Id="rId42" Type="http://schemas.openxmlformats.org/officeDocument/2006/relationships/hyperlink" Target="https://simbli.eboardsolutions.com/Policy/ViewPolicy.aspx?S=36031104&amp;revid=WjbMJxuDZLClyNNltiwx5w==" TargetMode="External"/><Relationship Id="rId41" Type="http://schemas.openxmlformats.org/officeDocument/2006/relationships/hyperlink" Target="https://simbli.eboardsolutions.com/Policy/ViewPolicy.aspx?S=36031104&amp;revid=WNLSBBhulNTplusBSLslshro1vXg==" TargetMode="External"/><Relationship Id="rId22" Type="http://schemas.openxmlformats.org/officeDocument/2006/relationships/hyperlink" Target="https://simbli.eboardsolutions.com/Policy/ViewPolicy.aspx?S=36031104&amp;revid=UzznVztAFV4jeslsh5slshN8LfQQ==" TargetMode="External"/><Relationship Id="rId21" Type="http://schemas.openxmlformats.org/officeDocument/2006/relationships/hyperlink" Target="https://www.ecfr.gov/current/title-34/subtitle-B/chapter-I/part-104" TargetMode="External"/><Relationship Id="rId43" Type="http://schemas.openxmlformats.org/officeDocument/2006/relationships/hyperlink" Target="https://simbli.eboardsolutions.com/Policy/ViewPolicy.aspx?S=36031104&amp;revid=7GFogtWOplusu8AojVNnGOd4A==" TargetMode="External"/><Relationship Id="rId24" Type="http://schemas.openxmlformats.org/officeDocument/2006/relationships/hyperlink" Target="https://simbli.eboardsolutions.com/Policy/ViewPolicy.aspx?S=36031104&amp;revid=8UvlqvgDOTAX5PNgA5d51A==" TargetMode="External"/><Relationship Id="rId23" Type="http://schemas.openxmlformats.org/officeDocument/2006/relationships/hyperlink" Target="https://simbli.eboardsolutions.com/Policy/ViewPolicy.aspx?S=36031104&amp;revid=NKcrYQ1oBXAYfBk2ShGbplus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56.11.pdf" TargetMode="External"/><Relationship Id="rId26" Type="http://schemas.openxmlformats.org/officeDocument/2006/relationships/hyperlink" Target="https://simbli.eboardsolutions.com/Policy/ViewPolicy.aspx?S=36031104&amp;revid=C4DakFIbOmb20pmNDPzwGw==" TargetMode="External"/><Relationship Id="rId25" Type="http://schemas.openxmlformats.org/officeDocument/2006/relationships/hyperlink" Target="https://simbli.eboardsolutions.com/Policy/ViewPolicy.aspx?S=36031104&amp;revid=eslshmwGPhLCUslshTEdzYzjXMPg==" TargetMode="External"/><Relationship Id="rId28" Type="http://schemas.openxmlformats.org/officeDocument/2006/relationships/hyperlink" Target="https://simbli.eboardsolutions.com/Policy/ViewPolicy.aspx?S=36031104&amp;revid=pzXplusZBiNZWZ8rsuGxpluskLUA==" TargetMode="External"/><Relationship Id="rId27" Type="http://schemas.openxmlformats.org/officeDocument/2006/relationships/hyperlink" Target="https://simbli.eboardsolutions.com/Policy/ViewPolicy.aspx?S=36031104&amp;revid=LtRnZOfVJPfTAfsvobfkaA=="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imbli.eboardsolutions.com/Policy/ViewPolicy.aspx?S=36031104&amp;revid=AgPnHpFkpfQkjtEoqDW3qw==" TargetMode="External"/><Relationship Id="rId7" Type="http://schemas.openxmlformats.org/officeDocument/2006/relationships/hyperlink" Target="https://www.legis.iowa.gov/docs/code/216.6.pdf" TargetMode="External"/><Relationship Id="rId8" Type="http://schemas.openxmlformats.org/officeDocument/2006/relationships/hyperlink" Target="https://www.legis.iowa.gov/docs/code/216.9.pdf" TargetMode="External"/><Relationship Id="rId31" Type="http://schemas.openxmlformats.org/officeDocument/2006/relationships/hyperlink" Target="https://simbli.eboardsolutions.com/Policy/ViewPolicy.aspx?S=36031104&amp;revid=eiplusWOOXEOBrBplus4ZUpwkIHw==" TargetMode="External"/><Relationship Id="rId30" Type="http://schemas.openxmlformats.org/officeDocument/2006/relationships/hyperlink" Target="https://simbli.eboardsolutions.com/Policy/ViewPolicy.aspx?S=36031104&amp;revid=5o3xOtivP5UCZouAf11mpA==" TargetMode="External"/><Relationship Id="rId11" Type="http://schemas.openxmlformats.org/officeDocument/2006/relationships/hyperlink" Target="https://www.legis.iowa.gov/docs/iac/chapter/281.12.pdf" TargetMode="External"/><Relationship Id="rId33" Type="http://schemas.openxmlformats.org/officeDocument/2006/relationships/hyperlink" Target="https://simbli.eboardsolutions.com/Policy/ViewPolicy.aspx?S=36031104&amp;revid=bj4Pk2jA7XAscBL7clXpdw==" TargetMode="External"/><Relationship Id="rId10" Type="http://schemas.openxmlformats.org/officeDocument/2006/relationships/hyperlink" Target="https://www.legis.iowa.gov/docs/code/280.3.pdf" TargetMode="External"/><Relationship Id="rId32" Type="http://schemas.openxmlformats.org/officeDocument/2006/relationships/hyperlink" Target="https://simbli.eboardsolutions.com/Policy/ViewPolicy.aspx?S=36031104&amp;revid=wddslsh0XulFzoPp76ZMQGEZQ==" TargetMode="External"/><Relationship Id="rId13" Type="http://schemas.openxmlformats.org/officeDocument/2006/relationships/hyperlink" Target="https://www.govinfo.gov/app/details/USCODE-2017-title20/USCODE-2017-title20-chap38-sec1681" TargetMode="External"/><Relationship Id="rId35" Type="http://schemas.openxmlformats.org/officeDocument/2006/relationships/hyperlink" Target="https://simbli.eboardsolutions.com/Policy/ViewPolicy.aspx?S=36031104&amp;revid=NoslshnrhYtTMoA8BO337EEQA==" TargetMode="External"/><Relationship Id="rId12" Type="http://schemas.openxmlformats.org/officeDocument/2006/relationships/hyperlink" Target="https://www.govinfo.gov/app/details/USCODE-2017-title20/USCODE-2017-title20-chap31-sec1221" TargetMode="External"/><Relationship Id="rId34" Type="http://schemas.openxmlformats.org/officeDocument/2006/relationships/hyperlink" Target="https://simbli.eboardsolutions.com/Policy/ViewPolicy.aspx?S=36031104&amp;revid=CLqCqQ1wVqFgadn4j5nQgg==" TargetMode="External"/><Relationship Id="rId15" Type="http://schemas.openxmlformats.org/officeDocument/2006/relationships/hyperlink" Target="https://www.govinfo.gov/app/details/USCODE-2017-title29/USCODE-2017-title29-chap8-sec206" TargetMode="External"/><Relationship Id="rId37" Type="http://schemas.openxmlformats.org/officeDocument/2006/relationships/hyperlink" Target="https://simbli.eboardsolutions.com/Policy/ViewPolicy.aspx?S=36031104&amp;revid=ZN8HOQDSRATo6132wz9lNw==" TargetMode="External"/><Relationship Id="rId14" Type="http://schemas.openxmlformats.org/officeDocument/2006/relationships/hyperlink" Target="https://www.govinfo.gov/app/details/USCODE-2017-title20/USCODE-2017-title20-chap39-subchapI-part1-sec1701&amp;collectionCode=USCODE" TargetMode="External"/><Relationship Id="rId36" Type="http://schemas.openxmlformats.org/officeDocument/2006/relationships/hyperlink" Target="https://simbli.eboardsolutions.com/Policy/ViewPolicy.aspx?S=36031104&amp;revid=lGX0TjKGj4XpQkTVCslshjp4Q==" TargetMode="External"/><Relationship Id="rId17" Type="http://schemas.openxmlformats.org/officeDocument/2006/relationships/hyperlink" Target="https://www.govinfo.gov/app/details/USCODE-2017-title42/USCODE-2017-title42-chap126-sec12101" TargetMode="External"/><Relationship Id="rId39" Type="http://schemas.openxmlformats.org/officeDocument/2006/relationships/hyperlink" Target="https://simbli.eboardsolutions.com/Policy/ViewPolicy.aspx?S=36031104&amp;revid=bxurJ1xNE9SZhUfUTKO3RA==" TargetMode="External"/><Relationship Id="rId16" Type="http://schemas.openxmlformats.org/officeDocument/2006/relationships/hyperlink" Target="https://www.govinfo.gov/app/details/USCODE-2017-title29/USCODE-2017-title29-chap16-subchapV-sec794" TargetMode="External"/><Relationship Id="rId38" Type="http://schemas.openxmlformats.org/officeDocument/2006/relationships/hyperlink" Target="https://simbli.eboardsolutions.com/Policy/ViewPolicy.aspx?S=36031104&amp;revid=VJepsrOCTim2d8plus8l45PbQ==" TargetMode="External"/><Relationship Id="rId19" Type="http://schemas.openxmlformats.org/officeDocument/2006/relationships/hyperlink" Target="https://www.govinfo.gov/app/details/USCODE-2017-title42/USCODE-2017-title42-chap21-subchapVI-sec2000e&amp;collectionCode=USCODE" TargetMode="External"/><Relationship Id="rId18" Type="http://schemas.openxmlformats.org/officeDocument/2006/relationships/hyperlink" Target="https://www.govinfo.gov/app/details/USCODE-2017-title42/USCODE-2017-title42-chap21-subchapV-sec2000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NotoSansSymbols-regular.ttf"/><Relationship Id="rId10" Type="http://schemas.openxmlformats.org/officeDocument/2006/relationships/font" Target="fonts/LatoBlack-boldItalic.ttf"/><Relationship Id="rId12" Type="http://schemas.openxmlformats.org/officeDocument/2006/relationships/font" Target="fonts/NotoSansSymbols-bold.ttf"/><Relationship Id="rId9" Type="http://schemas.openxmlformats.org/officeDocument/2006/relationships/font" Target="fonts/LatoBlack-bold.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fB3D2D25UisOHyEFUIV77f7iw==">CgMxLjAyCGguZ2pkZ3hzOAByITFQend0TGkxc3ptUWY3b0M0Ql9VQmI0OHRQM1dFYXRzWQ==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2024-02-14T19:13:00Z</dcterms:created>
  <dc:creator>Linda Heisdorffer</dc:creator>
</cp:coreProperties>
</file>